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9DA2B" w14:textId="0E13661E" w:rsidR="00F02DAD" w:rsidRPr="00E21560" w:rsidRDefault="00F02DAD" w:rsidP="00F02DAD">
      <w:pPr>
        <w:spacing w:after="240"/>
        <w:rPr>
          <w:rFonts w:eastAsia="Times New Roman" w:cstheme="minorHAnsi"/>
          <w:color w:val="333333"/>
        </w:rPr>
      </w:pPr>
      <w:r w:rsidRPr="00E21560">
        <w:rPr>
          <w:rFonts w:eastAsia="Times New Roman" w:cstheme="minorHAnsi"/>
          <w:color w:val="333333"/>
        </w:rPr>
        <w:t>K-6 Program Interview Employer and Complete</w:t>
      </w:r>
      <w:r w:rsidR="0012126B">
        <w:rPr>
          <w:rFonts w:eastAsia="Times New Roman" w:cstheme="minorHAnsi"/>
          <w:color w:val="333333"/>
        </w:rPr>
        <w:t>rs</w:t>
      </w:r>
      <w:r w:rsidRPr="00E21560">
        <w:rPr>
          <w:rFonts w:eastAsia="Times New Roman" w:cstheme="minorHAnsi"/>
          <w:color w:val="333333"/>
        </w:rPr>
        <w:t xml:space="preserve"> </w:t>
      </w:r>
      <w:r w:rsidR="0012126B">
        <w:rPr>
          <w:rFonts w:eastAsia="Times New Roman" w:cstheme="minorHAnsi"/>
          <w:color w:val="333333"/>
        </w:rPr>
        <w:t xml:space="preserve">  2023</w:t>
      </w:r>
    </w:p>
    <w:tbl>
      <w:tblPr>
        <w:tblStyle w:val="PlainTable5"/>
        <w:tblW w:w="9535" w:type="dxa"/>
        <w:tblLook w:val="04A0" w:firstRow="1" w:lastRow="0" w:firstColumn="1" w:lastColumn="0" w:noHBand="0" w:noVBand="1"/>
      </w:tblPr>
      <w:tblGrid>
        <w:gridCol w:w="5395"/>
        <w:gridCol w:w="2070"/>
        <w:gridCol w:w="2070"/>
      </w:tblGrid>
      <w:tr w:rsidR="00F02DAD" w:rsidRPr="00E21560" w14:paraId="44690236" w14:textId="77777777" w:rsidTr="0012126B">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5395" w:type="dxa"/>
          </w:tcPr>
          <w:p w14:paraId="58E37BCF"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Evaluation Criteria</w:t>
            </w:r>
          </w:p>
          <w:p w14:paraId="2A11AC63" w14:textId="77777777" w:rsidR="00F02DAD" w:rsidRPr="00E21560" w:rsidRDefault="00F02DAD" w:rsidP="00C80041">
            <w:pPr>
              <w:pStyle w:val="NormalWeb"/>
              <w:rPr>
                <w:rFonts w:asciiTheme="minorHAnsi" w:hAnsiTheme="minorHAnsi" w:cstheme="minorHAnsi"/>
              </w:rPr>
            </w:pPr>
            <w:r w:rsidRPr="00E21560">
              <w:rPr>
                <w:rFonts w:asciiTheme="minorHAnsi" w:hAnsiTheme="minorHAnsi" w:cstheme="minorHAnsi"/>
              </w:rPr>
              <w:t>InTASC/ Arkansas Teaching Standards</w:t>
            </w:r>
          </w:p>
        </w:tc>
        <w:tc>
          <w:tcPr>
            <w:tcW w:w="2070" w:type="dxa"/>
          </w:tcPr>
          <w:p w14:paraId="030F12EF" w14:textId="77777777" w:rsidR="00F02DAD" w:rsidRPr="00E21560" w:rsidRDefault="00F02DAD" w:rsidP="00C80041">
            <w:pPr>
              <w:pStyle w:val="NoSpacing"/>
              <w:cnfStyle w:val="100000000000" w:firstRow="1" w:lastRow="0" w:firstColumn="0" w:lastColumn="0" w:oddVBand="0" w:evenVBand="0" w:oddHBand="0" w:evenHBand="0" w:firstRowFirstColumn="0" w:firstRowLastColumn="0" w:lastRowFirstColumn="0" w:lastRowLastColumn="0"/>
              <w:rPr>
                <w:rFonts w:cstheme="minorHAnsi"/>
              </w:rPr>
            </w:pPr>
            <w:r w:rsidRPr="00E21560">
              <w:rPr>
                <w:rFonts w:cstheme="minorHAnsi"/>
              </w:rPr>
              <w:t>Performance Level ratings from Completers</w:t>
            </w:r>
          </w:p>
          <w:p w14:paraId="7455FA71" w14:textId="77777777" w:rsidR="00F02DAD" w:rsidRPr="00E21560" w:rsidRDefault="00F02DAD" w:rsidP="00C80041">
            <w:pPr>
              <w:pStyle w:val="NoSpacing"/>
              <w:cnfStyle w:val="100000000000" w:firstRow="1" w:lastRow="0" w:firstColumn="0" w:lastColumn="0" w:oddVBand="0" w:evenVBand="0" w:oddHBand="0" w:evenHBand="0" w:firstRowFirstColumn="0" w:firstRowLastColumn="0" w:lastRowFirstColumn="0" w:lastRowLastColumn="0"/>
              <w:rPr>
                <w:rFonts w:cstheme="minorHAnsi"/>
              </w:rPr>
            </w:pPr>
            <w:r w:rsidRPr="00E21560">
              <w:rPr>
                <w:rFonts w:cstheme="minorHAnsi"/>
              </w:rPr>
              <w:t>(Rating Scale 1-4)</w:t>
            </w:r>
          </w:p>
          <w:p w14:paraId="2175B3EC" w14:textId="77777777" w:rsidR="00F02DAD" w:rsidRPr="00E21560" w:rsidRDefault="00F02DAD" w:rsidP="00C80041">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2070" w:type="dxa"/>
          </w:tcPr>
          <w:p w14:paraId="3B841A4F" w14:textId="77777777" w:rsidR="00F02DAD" w:rsidRPr="00E21560" w:rsidRDefault="00F02DAD" w:rsidP="00C80041">
            <w:pPr>
              <w:pStyle w:val="NoSpacing"/>
              <w:cnfStyle w:val="100000000000" w:firstRow="1" w:lastRow="0" w:firstColumn="0" w:lastColumn="0" w:oddVBand="0" w:evenVBand="0" w:oddHBand="0" w:evenHBand="0" w:firstRowFirstColumn="0" w:firstRowLastColumn="0" w:lastRowFirstColumn="0" w:lastRowLastColumn="0"/>
              <w:rPr>
                <w:rFonts w:cstheme="minorHAnsi"/>
              </w:rPr>
            </w:pPr>
            <w:r w:rsidRPr="00E21560">
              <w:rPr>
                <w:rFonts w:cstheme="minorHAnsi"/>
              </w:rPr>
              <w:t>Performance Level Rating from Employers (Rating Scale 1-4)</w:t>
            </w:r>
          </w:p>
          <w:p w14:paraId="55F21DAB" w14:textId="77777777" w:rsidR="00F02DAD" w:rsidRPr="00E21560" w:rsidRDefault="00F02DAD" w:rsidP="00C80041">
            <w:pPr>
              <w:pStyle w:val="NoSpacing"/>
              <w:cnfStyle w:val="100000000000" w:firstRow="1" w:lastRow="0" w:firstColumn="0" w:lastColumn="0" w:oddVBand="0" w:evenVBand="0" w:oddHBand="0" w:evenHBand="0" w:firstRowFirstColumn="0" w:firstRowLastColumn="0" w:lastRowFirstColumn="0" w:lastRowLastColumn="0"/>
              <w:rPr>
                <w:rFonts w:cstheme="minorHAnsi"/>
              </w:rPr>
            </w:pPr>
          </w:p>
        </w:tc>
      </w:tr>
      <w:tr w:rsidR="00F02DAD" w:rsidRPr="00E21560" w14:paraId="75F5BDAE" w14:textId="77777777" w:rsidTr="00121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B86AA56" w14:textId="77777777" w:rsidR="00F02DAD" w:rsidRDefault="00F02DAD" w:rsidP="00C80041">
            <w:pPr>
              <w:pStyle w:val="NormalWeb"/>
              <w:rPr>
                <w:rFonts w:asciiTheme="minorHAnsi" w:hAnsiTheme="minorHAnsi" w:cstheme="minorHAnsi"/>
              </w:rPr>
            </w:pPr>
            <w:r w:rsidRPr="00E21560">
              <w:rPr>
                <w:rFonts w:asciiTheme="minorHAnsi" w:hAnsiTheme="minorHAnsi" w:cstheme="minorHAnsi"/>
              </w:rPr>
              <w:t>Standard 1: Learner Development—</w:t>
            </w:r>
          </w:p>
          <w:p w14:paraId="48415B1E"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w:t>
            </w:r>
          </w:p>
        </w:tc>
        <w:tc>
          <w:tcPr>
            <w:tcW w:w="2070" w:type="dxa"/>
          </w:tcPr>
          <w:p w14:paraId="0E515861" w14:textId="49677F49" w:rsidR="00F02DAD" w:rsidRPr="00E21560" w:rsidRDefault="00EE7C1A"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Pr>
                <w:rFonts w:asciiTheme="minorHAnsi" w:hAnsiTheme="minorHAnsi" w:cstheme="minorHAnsi"/>
                <w:i/>
                <w:iCs/>
              </w:rPr>
              <w:t>3</w:t>
            </w:r>
          </w:p>
        </w:tc>
        <w:tc>
          <w:tcPr>
            <w:tcW w:w="2070" w:type="dxa"/>
          </w:tcPr>
          <w:p w14:paraId="61B849D8"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r>
      <w:tr w:rsidR="00F02DAD" w:rsidRPr="00E21560" w14:paraId="1F2643EB" w14:textId="77777777" w:rsidTr="0012126B">
        <w:tc>
          <w:tcPr>
            <w:cnfStyle w:val="001000000000" w:firstRow="0" w:lastRow="0" w:firstColumn="1" w:lastColumn="0" w:oddVBand="0" w:evenVBand="0" w:oddHBand="0" w:evenHBand="0" w:firstRowFirstColumn="0" w:firstRowLastColumn="0" w:lastRowFirstColumn="0" w:lastRowLastColumn="0"/>
            <w:tcW w:w="5395" w:type="dxa"/>
          </w:tcPr>
          <w:p w14:paraId="6F7AB0B9" w14:textId="77777777" w:rsidR="00F02DAD" w:rsidRDefault="00F02DAD" w:rsidP="00C80041">
            <w:pPr>
              <w:pStyle w:val="NormalWeb"/>
              <w:rPr>
                <w:rFonts w:asciiTheme="minorHAnsi" w:hAnsiTheme="minorHAnsi" w:cstheme="minorHAnsi"/>
              </w:rPr>
            </w:pPr>
            <w:r w:rsidRPr="00E21560">
              <w:rPr>
                <w:rFonts w:asciiTheme="minorHAnsi" w:hAnsiTheme="minorHAnsi" w:cstheme="minorHAnsi"/>
              </w:rPr>
              <w:t>Standard 2: Learning Differences—</w:t>
            </w:r>
          </w:p>
          <w:p w14:paraId="50DA946E"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The teacher uses understanding of individual differences and diverse cultures and communities to ensure inclusive learning environments that enable each learner to meet high standards. </w:t>
            </w:r>
          </w:p>
        </w:tc>
        <w:tc>
          <w:tcPr>
            <w:tcW w:w="2070" w:type="dxa"/>
          </w:tcPr>
          <w:p w14:paraId="6C7D171A" w14:textId="7DBD51A9" w:rsidR="00F02DAD" w:rsidRPr="00E21560" w:rsidRDefault="00EE7C1A"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Pr>
                <w:rFonts w:asciiTheme="minorHAnsi" w:hAnsiTheme="minorHAnsi" w:cstheme="minorHAnsi"/>
                <w:i/>
                <w:iCs/>
              </w:rPr>
              <w:t>3</w:t>
            </w:r>
          </w:p>
        </w:tc>
        <w:tc>
          <w:tcPr>
            <w:tcW w:w="2070" w:type="dxa"/>
          </w:tcPr>
          <w:p w14:paraId="15EC23CE" w14:textId="77BF8F80" w:rsidR="00F02DAD" w:rsidRPr="00E21560" w:rsidRDefault="0012126B"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Pr>
                <w:rFonts w:asciiTheme="minorHAnsi" w:hAnsiTheme="minorHAnsi" w:cstheme="minorHAnsi"/>
                <w:i/>
                <w:iCs/>
              </w:rPr>
              <w:t>4</w:t>
            </w:r>
          </w:p>
        </w:tc>
      </w:tr>
      <w:tr w:rsidR="00F02DAD" w:rsidRPr="00E21560" w14:paraId="1941C2CE" w14:textId="77777777" w:rsidTr="00121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A085D0C" w14:textId="77777777" w:rsidR="00F02DAD" w:rsidRDefault="00F02DAD" w:rsidP="00C80041">
            <w:pPr>
              <w:pStyle w:val="NormalWeb"/>
              <w:rPr>
                <w:rFonts w:asciiTheme="minorHAnsi" w:hAnsiTheme="minorHAnsi" w:cstheme="minorHAnsi"/>
              </w:rPr>
            </w:pPr>
            <w:r w:rsidRPr="00E21560">
              <w:rPr>
                <w:rFonts w:asciiTheme="minorHAnsi" w:hAnsiTheme="minorHAnsi" w:cstheme="minorHAnsi"/>
              </w:rPr>
              <w:t>Standard 3: Learning Environments—</w:t>
            </w:r>
          </w:p>
          <w:p w14:paraId="4DE6648F"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The teacher works with others to create environments that support individual and collaborative learning, and that encourage positive social interaction, active engagement in learning, and self- motivation. </w:t>
            </w:r>
          </w:p>
        </w:tc>
        <w:tc>
          <w:tcPr>
            <w:tcW w:w="2070" w:type="dxa"/>
          </w:tcPr>
          <w:p w14:paraId="1AAC9B91"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c>
          <w:tcPr>
            <w:tcW w:w="2070" w:type="dxa"/>
          </w:tcPr>
          <w:p w14:paraId="6AD8C671" w14:textId="2AA1DEAD" w:rsidR="00F02DAD" w:rsidRPr="00E21560" w:rsidRDefault="00EE7C1A"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Pr>
                <w:rFonts w:asciiTheme="minorHAnsi" w:hAnsiTheme="minorHAnsi" w:cstheme="minorHAnsi"/>
                <w:i/>
                <w:iCs/>
              </w:rPr>
              <w:t>3</w:t>
            </w:r>
          </w:p>
        </w:tc>
      </w:tr>
      <w:tr w:rsidR="00F02DAD" w:rsidRPr="00E21560" w14:paraId="028EBEEB" w14:textId="77777777" w:rsidTr="0012126B">
        <w:tc>
          <w:tcPr>
            <w:cnfStyle w:val="001000000000" w:firstRow="0" w:lastRow="0" w:firstColumn="1" w:lastColumn="0" w:oddVBand="0" w:evenVBand="0" w:oddHBand="0" w:evenHBand="0" w:firstRowFirstColumn="0" w:firstRowLastColumn="0" w:lastRowFirstColumn="0" w:lastRowLastColumn="0"/>
            <w:tcW w:w="5395" w:type="dxa"/>
          </w:tcPr>
          <w:p w14:paraId="0ADB2617"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II. Content </w:t>
            </w:r>
          </w:p>
        </w:tc>
        <w:tc>
          <w:tcPr>
            <w:tcW w:w="2070" w:type="dxa"/>
          </w:tcPr>
          <w:p w14:paraId="1450FE40" w14:textId="77777777" w:rsidR="00F02DAD" w:rsidRPr="00E21560" w:rsidRDefault="00F02DAD"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70" w:type="dxa"/>
          </w:tcPr>
          <w:p w14:paraId="02369214" w14:textId="77777777" w:rsidR="00F02DAD" w:rsidRPr="00E21560" w:rsidRDefault="00F02DAD"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02DAD" w:rsidRPr="00E21560" w14:paraId="40780293" w14:textId="77777777" w:rsidTr="00121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93EF2F3" w14:textId="77777777" w:rsidR="00F02DAD" w:rsidRDefault="00F02DAD" w:rsidP="00C80041">
            <w:pPr>
              <w:pStyle w:val="NormalWeb"/>
              <w:rPr>
                <w:rFonts w:asciiTheme="minorHAnsi" w:hAnsiTheme="minorHAnsi" w:cstheme="minorHAnsi"/>
              </w:rPr>
            </w:pPr>
            <w:r w:rsidRPr="00E21560">
              <w:rPr>
                <w:rFonts w:asciiTheme="minorHAnsi" w:hAnsiTheme="minorHAnsi" w:cstheme="minorHAnsi"/>
              </w:rPr>
              <w:t>Standard 4: Content Knowledge—</w:t>
            </w:r>
          </w:p>
          <w:p w14:paraId="3EFB19E2"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The teacher understands the central concepts, tools of inquiry, and structures of the discipline(s) he or she teaches and creates learning experiences that make the discipline accessible and meaningful for learners to assure mastery of the content. </w:t>
            </w:r>
          </w:p>
        </w:tc>
        <w:tc>
          <w:tcPr>
            <w:tcW w:w="2070" w:type="dxa"/>
          </w:tcPr>
          <w:p w14:paraId="421CBB7C"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c>
          <w:tcPr>
            <w:tcW w:w="2070" w:type="dxa"/>
          </w:tcPr>
          <w:p w14:paraId="6351495B"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r>
      <w:tr w:rsidR="00F02DAD" w:rsidRPr="00E21560" w14:paraId="69C6F917" w14:textId="77777777" w:rsidTr="0012126B">
        <w:tc>
          <w:tcPr>
            <w:cnfStyle w:val="001000000000" w:firstRow="0" w:lastRow="0" w:firstColumn="1" w:lastColumn="0" w:oddVBand="0" w:evenVBand="0" w:oddHBand="0" w:evenHBand="0" w:firstRowFirstColumn="0" w:firstRowLastColumn="0" w:lastRowFirstColumn="0" w:lastRowLastColumn="0"/>
            <w:tcW w:w="5395" w:type="dxa"/>
          </w:tcPr>
          <w:p w14:paraId="57078510" w14:textId="77777777" w:rsidR="00F02DAD" w:rsidRDefault="00F02DAD" w:rsidP="00C80041">
            <w:pPr>
              <w:pStyle w:val="NormalWeb"/>
              <w:rPr>
                <w:rFonts w:asciiTheme="minorHAnsi" w:hAnsiTheme="minorHAnsi" w:cstheme="minorHAnsi"/>
              </w:rPr>
            </w:pPr>
            <w:r w:rsidRPr="00E21560">
              <w:rPr>
                <w:rFonts w:asciiTheme="minorHAnsi" w:hAnsiTheme="minorHAnsi" w:cstheme="minorHAnsi"/>
              </w:rPr>
              <w:t>Standard 5: Application of Content—</w:t>
            </w:r>
          </w:p>
          <w:p w14:paraId="5688917A"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The teacher understands how to connect concepts and use differing perspectives to engage learners in critical thinking, creativity, and collaborative problem solving related to authentic local and global issues. </w:t>
            </w:r>
          </w:p>
        </w:tc>
        <w:tc>
          <w:tcPr>
            <w:tcW w:w="2070" w:type="dxa"/>
          </w:tcPr>
          <w:p w14:paraId="5041C6EB" w14:textId="77777777" w:rsidR="00F02DAD" w:rsidRPr="00E21560" w:rsidRDefault="00F02DAD"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c>
          <w:tcPr>
            <w:tcW w:w="2070" w:type="dxa"/>
          </w:tcPr>
          <w:p w14:paraId="0678F7CC" w14:textId="77777777" w:rsidR="00F02DAD" w:rsidRPr="00E21560" w:rsidRDefault="00F02DAD"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r>
      <w:tr w:rsidR="00F02DAD" w:rsidRPr="00E21560" w14:paraId="63F40242" w14:textId="77777777" w:rsidTr="00121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14ED91A"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lastRenderedPageBreak/>
              <w:t xml:space="preserve">III. Instructional Practice </w:t>
            </w:r>
          </w:p>
        </w:tc>
        <w:tc>
          <w:tcPr>
            <w:tcW w:w="2070" w:type="dxa"/>
          </w:tcPr>
          <w:p w14:paraId="18EB6395"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70" w:type="dxa"/>
          </w:tcPr>
          <w:p w14:paraId="19581A42"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02DAD" w:rsidRPr="00E21560" w14:paraId="57B8CE73" w14:textId="77777777" w:rsidTr="0012126B">
        <w:tc>
          <w:tcPr>
            <w:cnfStyle w:val="001000000000" w:firstRow="0" w:lastRow="0" w:firstColumn="1" w:lastColumn="0" w:oddVBand="0" w:evenVBand="0" w:oddHBand="0" w:evenHBand="0" w:firstRowFirstColumn="0" w:firstRowLastColumn="0" w:lastRowFirstColumn="0" w:lastRowLastColumn="0"/>
            <w:tcW w:w="5395" w:type="dxa"/>
          </w:tcPr>
          <w:p w14:paraId="2307853B" w14:textId="77777777" w:rsidR="00F02DAD" w:rsidRDefault="00F02DAD" w:rsidP="00C80041">
            <w:pPr>
              <w:pStyle w:val="NormalWeb"/>
              <w:rPr>
                <w:rFonts w:asciiTheme="minorHAnsi" w:hAnsiTheme="minorHAnsi" w:cstheme="minorHAnsi"/>
              </w:rPr>
            </w:pPr>
            <w:r w:rsidRPr="00E21560">
              <w:rPr>
                <w:rFonts w:asciiTheme="minorHAnsi" w:hAnsiTheme="minorHAnsi" w:cstheme="minorHAnsi"/>
              </w:rPr>
              <w:t>Standard 6: Assessment—</w:t>
            </w:r>
          </w:p>
          <w:p w14:paraId="728EE772"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The teacher understands and uses multiple methods of assessment to engage learners in their own growth, to monitor learner progress, and to guide the teacher’s and learner’s decision making. </w:t>
            </w:r>
          </w:p>
        </w:tc>
        <w:tc>
          <w:tcPr>
            <w:tcW w:w="2070" w:type="dxa"/>
          </w:tcPr>
          <w:p w14:paraId="6F51F766" w14:textId="51CDE654" w:rsidR="00F02DAD" w:rsidRPr="00E21560" w:rsidRDefault="00EE7C1A"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Pr>
                <w:rFonts w:asciiTheme="minorHAnsi" w:hAnsiTheme="minorHAnsi" w:cstheme="minorHAnsi"/>
                <w:i/>
                <w:iCs/>
              </w:rPr>
              <w:t>3</w:t>
            </w:r>
          </w:p>
        </w:tc>
        <w:tc>
          <w:tcPr>
            <w:tcW w:w="2070" w:type="dxa"/>
          </w:tcPr>
          <w:p w14:paraId="368CEEFA" w14:textId="77777777" w:rsidR="00F02DAD" w:rsidRPr="00E21560" w:rsidRDefault="00F02DAD"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r>
      <w:tr w:rsidR="00F02DAD" w:rsidRPr="00E21560" w14:paraId="1EB929BC" w14:textId="77777777" w:rsidTr="00121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7D5059D" w14:textId="77777777" w:rsidR="00F02DAD" w:rsidRDefault="00F02DAD" w:rsidP="00C80041">
            <w:pPr>
              <w:pStyle w:val="NormalWeb"/>
              <w:rPr>
                <w:rFonts w:asciiTheme="minorHAnsi" w:hAnsiTheme="minorHAnsi" w:cstheme="minorHAnsi"/>
              </w:rPr>
            </w:pPr>
            <w:r w:rsidRPr="00E21560">
              <w:rPr>
                <w:rFonts w:asciiTheme="minorHAnsi" w:hAnsiTheme="minorHAnsi" w:cstheme="minorHAnsi"/>
              </w:rPr>
              <w:t>Standard 7: Planning for Instruction—</w:t>
            </w:r>
          </w:p>
          <w:p w14:paraId="72455131"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The teacher plans instruction that supports every student in meeting rigorous learning goals by drawing upon knowledge of content areas, curriculum, cross-disciplinary skills, and pedagogy, as well as knowledge of learners and the community context. </w:t>
            </w:r>
          </w:p>
        </w:tc>
        <w:tc>
          <w:tcPr>
            <w:tcW w:w="2070" w:type="dxa"/>
          </w:tcPr>
          <w:p w14:paraId="6848B9FD"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c>
          <w:tcPr>
            <w:tcW w:w="2070" w:type="dxa"/>
          </w:tcPr>
          <w:p w14:paraId="4913FC0C"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r>
      <w:tr w:rsidR="00F02DAD" w:rsidRPr="00E21560" w14:paraId="6C3639BC" w14:textId="77777777" w:rsidTr="0012126B">
        <w:tc>
          <w:tcPr>
            <w:cnfStyle w:val="001000000000" w:firstRow="0" w:lastRow="0" w:firstColumn="1" w:lastColumn="0" w:oddVBand="0" w:evenVBand="0" w:oddHBand="0" w:evenHBand="0" w:firstRowFirstColumn="0" w:firstRowLastColumn="0" w:lastRowFirstColumn="0" w:lastRowLastColumn="0"/>
            <w:tcW w:w="5395" w:type="dxa"/>
          </w:tcPr>
          <w:p w14:paraId="4082CED0" w14:textId="77777777" w:rsidR="00F02DAD" w:rsidRDefault="00F02DAD" w:rsidP="00C80041">
            <w:pPr>
              <w:pStyle w:val="NormalWeb"/>
              <w:rPr>
                <w:rFonts w:asciiTheme="minorHAnsi" w:hAnsiTheme="minorHAnsi" w:cstheme="minorHAnsi"/>
              </w:rPr>
            </w:pPr>
            <w:r w:rsidRPr="00E21560">
              <w:rPr>
                <w:rFonts w:asciiTheme="minorHAnsi" w:hAnsiTheme="minorHAnsi" w:cstheme="minorHAnsi"/>
              </w:rPr>
              <w:t>Standard 8: Instructional Strategies—</w:t>
            </w:r>
          </w:p>
          <w:p w14:paraId="7544E045"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The teacher understands and uses a variety of instructional strategies to encourage learners to develop deep understanding of content areas and their connections, and to build skills to apply knowledge in meaningful ways. </w:t>
            </w:r>
          </w:p>
        </w:tc>
        <w:tc>
          <w:tcPr>
            <w:tcW w:w="2070" w:type="dxa"/>
          </w:tcPr>
          <w:p w14:paraId="6E5CA7AE" w14:textId="77777777" w:rsidR="00F02DAD" w:rsidRPr="00E21560" w:rsidRDefault="00F02DAD"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c>
          <w:tcPr>
            <w:tcW w:w="2070" w:type="dxa"/>
          </w:tcPr>
          <w:p w14:paraId="7399BEB6" w14:textId="77777777" w:rsidR="00F02DAD" w:rsidRPr="00E21560" w:rsidRDefault="00F02DAD"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r>
      <w:tr w:rsidR="00F02DAD" w:rsidRPr="00E21560" w14:paraId="3A629219" w14:textId="77777777" w:rsidTr="00121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751D79B"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IV. Professional Responsibility </w:t>
            </w:r>
          </w:p>
        </w:tc>
        <w:tc>
          <w:tcPr>
            <w:tcW w:w="2070" w:type="dxa"/>
          </w:tcPr>
          <w:p w14:paraId="19C94E52"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70" w:type="dxa"/>
          </w:tcPr>
          <w:p w14:paraId="5ACE60C0"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02DAD" w:rsidRPr="00E21560" w14:paraId="2A8E6590" w14:textId="77777777" w:rsidTr="0012126B">
        <w:tc>
          <w:tcPr>
            <w:cnfStyle w:val="001000000000" w:firstRow="0" w:lastRow="0" w:firstColumn="1" w:lastColumn="0" w:oddVBand="0" w:evenVBand="0" w:oddHBand="0" w:evenHBand="0" w:firstRowFirstColumn="0" w:firstRowLastColumn="0" w:lastRowFirstColumn="0" w:lastRowLastColumn="0"/>
            <w:tcW w:w="5395" w:type="dxa"/>
          </w:tcPr>
          <w:p w14:paraId="728B9595" w14:textId="77777777" w:rsidR="00F02DAD" w:rsidRDefault="00F02DAD" w:rsidP="00C80041">
            <w:pPr>
              <w:pStyle w:val="NormalWeb"/>
              <w:rPr>
                <w:rFonts w:asciiTheme="minorHAnsi" w:hAnsiTheme="minorHAnsi" w:cstheme="minorHAnsi"/>
              </w:rPr>
            </w:pPr>
            <w:r w:rsidRPr="00E21560">
              <w:rPr>
                <w:rFonts w:asciiTheme="minorHAnsi" w:hAnsiTheme="minorHAnsi" w:cstheme="minorHAnsi"/>
              </w:rPr>
              <w:t>Standard 9: Professional Learning and Ethical Practice—</w:t>
            </w:r>
          </w:p>
          <w:p w14:paraId="6FF6606C"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 xml:space="preserve">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tc>
        <w:tc>
          <w:tcPr>
            <w:tcW w:w="2070" w:type="dxa"/>
          </w:tcPr>
          <w:p w14:paraId="59DE13A2" w14:textId="77777777" w:rsidR="00F02DAD" w:rsidRPr="00E21560" w:rsidRDefault="00F02DAD"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4</w:t>
            </w:r>
          </w:p>
        </w:tc>
        <w:tc>
          <w:tcPr>
            <w:tcW w:w="2070" w:type="dxa"/>
          </w:tcPr>
          <w:p w14:paraId="37A40631" w14:textId="144F99A0" w:rsidR="00F02DAD" w:rsidRPr="00E21560" w:rsidRDefault="00EE7C1A" w:rsidP="00C8004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Pr>
                <w:rFonts w:asciiTheme="minorHAnsi" w:hAnsiTheme="minorHAnsi" w:cstheme="minorHAnsi"/>
                <w:i/>
                <w:iCs/>
              </w:rPr>
              <w:t>3</w:t>
            </w:r>
          </w:p>
        </w:tc>
      </w:tr>
      <w:tr w:rsidR="00F02DAD" w:rsidRPr="00E21560" w14:paraId="592DD5D0" w14:textId="77777777" w:rsidTr="00121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3DAFE09" w14:textId="77777777" w:rsidR="00F02DAD" w:rsidRPr="00E21560" w:rsidRDefault="00F02DAD" w:rsidP="00C80041">
            <w:pPr>
              <w:pStyle w:val="NormalWeb"/>
              <w:rPr>
                <w:rFonts w:asciiTheme="minorHAnsi" w:hAnsiTheme="minorHAnsi" w:cstheme="minorHAnsi"/>
                <w:b/>
                <w:bCs/>
              </w:rPr>
            </w:pPr>
            <w:r w:rsidRPr="00E21560">
              <w:rPr>
                <w:rFonts w:asciiTheme="minorHAnsi" w:hAnsiTheme="minorHAnsi" w:cstheme="minorHAnsi"/>
              </w:rPr>
              <w:t>The teacher can demonstrate a positive impact on student learning as measured by formative, interim or summative assessments</w:t>
            </w:r>
          </w:p>
        </w:tc>
        <w:tc>
          <w:tcPr>
            <w:tcW w:w="2070" w:type="dxa"/>
          </w:tcPr>
          <w:p w14:paraId="73506600" w14:textId="77777777"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c>
          <w:tcPr>
            <w:tcW w:w="2070" w:type="dxa"/>
          </w:tcPr>
          <w:p w14:paraId="6E65F9D2" w14:textId="47842B4D" w:rsidR="00F02DAD" w:rsidRPr="00E21560" w:rsidRDefault="00F02DAD" w:rsidP="00C8004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E21560">
              <w:rPr>
                <w:rFonts w:asciiTheme="minorHAnsi" w:hAnsiTheme="minorHAnsi" w:cstheme="minorHAnsi"/>
                <w:i/>
                <w:iCs/>
              </w:rPr>
              <w:t>3</w:t>
            </w:r>
          </w:p>
        </w:tc>
      </w:tr>
    </w:tbl>
    <w:p w14:paraId="71AD6194" w14:textId="77777777" w:rsidR="007B0597" w:rsidRDefault="007B0597">
      <w:bookmarkStart w:id="0" w:name="_GoBack"/>
      <w:bookmarkEnd w:id="0"/>
    </w:p>
    <w:sectPr w:rsidR="007B0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AD"/>
    <w:rsid w:val="000052DE"/>
    <w:rsid w:val="0012126B"/>
    <w:rsid w:val="007849FA"/>
    <w:rsid w:val="007B0597"/>
    <w:rsid w:val="00EE7C1A"/>
    <w:rsid w:val="00F02DAD"/>
    <w:rsid w:val="00F9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365C"/>
  <w15:chartTrackingRefBased/>
  <w15:docId w15:val="{7E3421C6-46DF-403B-B24B-88C49451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DA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2DA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F02DAD"/>
    <w:pPr>
      <w:spacing w:after="0" w:line="240" w:lineRule="auto"/>
    </w:pPr>
    <w:rPr>
      <w:sz w:val="24"/>
      <w:szCs w:val="24"/>
    </w:rPr>
  </w:style>
  <w:style w:type="table" w:styleId="GridTable1Light-Accent6">
    <w:name w:val="Grid Table 1 Light Accent 6"/>
    <w:basedOn w:val="TableNormal"/>
    <w:uiPriority w:val="46"/>
    <w:rsid w:val="00F02DA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212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12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212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212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12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12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12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Katina Ray</dc:creator>
  <cp:keywords/>
  <dc:description/>
  <cp:lastModifiedBy>Microsoft Office User</cp:lastModifiedBy>
  <cp:revision>2</cp:revision>
  <dcterms:created xsi:type="dcterms:W3CDTF">2024-05-06T19:34:00Z</dcterms:created>
  <dcterms:modified xsi:type="dcterms:W3CDTF">2024-05-06T19:34:00Z</dcterms:modified>
</cp:coreProperties>
</file>